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widowControl/>
        <w:suppressAutoHyphens w:val="true"/>
        <w:bidi w:val="0"/>
        <w:spacing w:lineRule="auto" w:line="24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ОБЪЯВЛЕНИЕ 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о приеме заявок от субъектов малого и среднего предпринимательства на оказание финансовой поддержки в рамках муниципальной программы «Развитие субъектов малого и среднего предпринимательства в городе Бердске»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1. Сроки приема заявок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1) дата начала приема заявок: 0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8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 ноября 2025 года;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2) дата окончания приема заявок: 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08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 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дека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бря 2025 года;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2. Цель предоставления субсидии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ru-RU" w:eastAsia="en-US" w:bidi="ar-SA"/>
        </w:rPr>
        <w:t>Целью является создание благоприятных условий для развития малого и среднего предпринимательства на территории города Бердска.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3. </w:t>
      </w:r>
      <w:r>
        <w:rPr>
          <w:rStyle w:val="Strong"/>
          <w:rFonts w:eastAsia="Calibri" w:cs="" w:ascii="Times New Roman" w:hAnsi="Times New Roman"/>
          <w:b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Общая сумма, предусмотренная на оказание финансовой поддержки:</w:t>
      </w:r>
      <w:r>
        <w:rPr>
          <w:rStyle w:val="Strong"/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 3 882,2 тыс. руб.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4. Категория получателей субсидии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П</w:t>
      </w:r>
      <w:r>
        <w:rPr>
          <w:rStyle w:val="Strong"/>
          <w:rFonts w:eastAsia="Calibri" w:cs="" w:ascii="Times New Roman" w:hAnsi="Times New Roman" w:cstheme="minorBidi" w:eastAsiaTheme="minorHAnsi"/>
          <w:b w:val="false"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ru-RU" w:eastAsia="en-US" w:bidi="ar-SA"/>
        </w:rPr>
        <w:t xml:space="preserve">олучателями финансовой поддержки являются осуществляющие деятельность в городе Бердске юридические лица и индивидуальные предприниматели, отнесенные </w:t>
      </w:r>
      <w:r>
        <w:rPr>
          <w:rStyle w:val="Strong"/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ru-RU" w:eastAsia="en-US" w:bidi="ar-SA"/>
        </w:rPr>
        <w:t>к субъектам малого и среднего предпринимательства (далее - СМиСП) в соответствии с условиями, установленными ФЗ № 209.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" w:ascii="Times New Roman" w:hAnsi="Times New Roman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5.</w:t>
      </w:r>
      <w:r>
        <w:rPr>
          <w:rStyle w:val="Strong"/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 </w:t>
      </w:r>
      <w:r>
        <w:rPr>
          <w:rStyle w:val="Strong"/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ru-RU" w:eastAsia="en-US" w:bidi="ar-SA"/>
        </w:rPr>
        <w:t>Финансовая поддержка СМиСП осуществляется в следующих формах:</w:t>
      </w:r>
    </w:p>
    <w:p>
      <w:pPr>
        <w:pStyle w:val="Normal"/>
        <w:shd w:val="clear" w:fill="FFFFFF"/>
        <w:ind w:firstLine="708" w:righ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субсидирование части процентных выплат по кредитам;</w:t>
      </w:r>
    </w:p>
    <w:p>
      <w:pPr>
        <w:pStyle w:val="Normal"/>
        <w:shd w:val="clear" w:fill="FFFFFF"/>
        <w:ind w:firstLine="708" w:righ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субсидирование части арендных платежей;</w:t>
      </w:r>
    </w:p>
    <w:p>
      <w:pPr>
        <w:pStyle w:val="Normal"/>
        <w:shd w:val="clear" w:fill="FFFFFF"/>
        <w:ind w:firstLine="708" w:righ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субсидирование части затрат на приобретение основных и (или) оборотных средств;</w:t>
      </w:r>
    </w:p>
    <w:p>
      <w:pPr>
        <w:pStyle w:val="Normal"/>
        <w:shd w:val="clear" w:fill="FFFFFF"/>
        <w:ind w:firstLine="708" w:righ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субсидирование части затрат на реализацию бизнес-плана предпринимательского проекта;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субсидирование части затрат СМиСП, осуществляющих деятельность в сфере бытового обслуживания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6. Результат предоставления субсидии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1) </w:t>
      </w:r>
      <w:r>
        <w:rPr>
          <w:rStyle w:val="Strong"/>
          <w:rFonts w:eastAsia="Calibri" w:cs="Times New Roman" w:ascii="Times New Roman" w:hAnsi="Times New Roman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обеспечить безубыточность деятельности. Деятельность признается безубыточной в случае положительного значения показателя чистой прибыли (чистого дохода) по сравнению с предшествующим годом;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eastAsia="Calibri" w:cs="Times New Roman" w:ascii="Times New Roman" w:hAnsi="Times New Roman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2) обеспечить </w:t>
      </w:r>
      <w:r>
        <w:rPr>
          <w:rStyle w:val="Strong"/>
          <w:rFonts w:eastAsia="Calibri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ru-RU" w:eastAsia="en-US" w:bidi="ar-SA"/>
        </w:rPr>
        <w:t>увеличение среднесписочной численности работников в год предоставления финансовой поддержки по сравнению с годом, предшествующим году предоставления финансовой поддержки, и (или) увеличения выручки (дохода) на одного работника (учитывается только среднесписочная численность) в год предоставления финансовой поддержки не менее чем на 10 процентов по сравнению с годом, предшествующим году предоставления финансовой поддержки, при сохранении или увеличении среднесписочной численности работников в год предоставления финансовой поддержки по сравнению с годом, предшествующим году предоставления финансовой поддержки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7. Требования к участникам отбора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Субсидии предоставляются при соответствии получателя субсидии (участника отбора) на дату рассмотрения заявки и дату заключения соглашения о предоставлении субсидии (далее – соглашение) следующим требованиям: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 получает средства из бюджета города Бердска,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 на цели, указанные в пункте 2 настоящего Порядка;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отсутствует просроченная задолженность по возврату в бюджет города Бердска иных субсидий, бюджетных инвестиций, а также иная просроченная (не урегулированная) задолженность по денежным обязательствам перед бюджетом города Бердска;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юридическое лицо не находится в процессе реорганизации (за исключением реорганизации в форме присоединения к участнику отбора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законодательством Российской Федерации; индивидуальный предприниматель не прекратил деятельность в качестве индивидуального предпринимателя;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не является участником соглашений о разделе продукции;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не является в порядке, установленном законодательством Российской Федерации о валютном регулировании и валютном контроле, не резидентом Российской Федерации, за исключением случаев, предусмотренных международными договорами Российской Федерации;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не осуществляет предпринимательскую деятельность в сфере игорного бизнеса;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14) </w:t>
      </w: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>представлены документы, указанные в приложении № 3 к Порядку предоставления субсидий государственным (муниципальным) учреждениям), индивидуальным предпринимателям - производителям товаров, работ, услуг (за исключением документов, запрашиваемых отделом промышленности, торговли и развития предпринимательства администрации города Бердска (далее - ОПТиРП) в порядке межведомственного взаимодействия), соответствующие законодательству Российской Федерации и требованиям, установленным к этим документам в объявлении о проведении отбора, являющиеся достоверными и позволяющие рассчитать размер субсидии;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истекли сроки ранее оказанной аналогичной поддержки (поддержки, условия оказания которой совпадают, включая форму, вид поддержки и цели ее оказания);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 с даты признания СМиСП совершившим нарушение порядка и условий оказания финансовой поддержки прошло более одного года, за исключением случая более раннего устранения субъектом СМиСП такого нарушения при условии соблюдения им срока устранения такого нарушения, установленного ОПТиРП, а в случае, если нарушение порядка и условий оказания финансовой поддержки связано с не целевым использованием средств финансовой поддержки или представлением недостоверных сведений и документов, с даты признания СМиСП совершившим такое нарушение прошло более трех лет. Положения, предусмотренные настоящим подпунктом, распространяются на виды финансовой поддержки, в отношении которых ОПТиРП выявлены нарушения СМиСП порядка и условий оказания финансовой поддержки;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17) по итогам работы за последний отчетный год: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обеспечена безубыточность деятельности. Деятельность признается безубыточной в случае положительного значения показателя чистой прибыли (чистого дохода);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для СПиСМ, действующих с момента государственной регистрации более трех лет по состоянию на 1 января года предоставления субсидии, обеспечено превышение уровня среднемесячной заработной платы одного работника по отношению к установленной величине прожиточного минимума для трудоспособного населения Новосибирской области за соответствующий отчетный год не менее чем в 1,4;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в) обеспечить наличие расчетного счета СМиСП, открытого в учреждениях Центрального банка Российской Федерации или российских кредитных организациях.</w:t>
      </w:r>
    </w:p>
    <w:p>
      <w:pPr>
        <w:pStyle w:val="Normal"/>
        <w:spacing w:lineRule="auto" w:line="240"/>
        <w:ind w:firstLine="708" w:righ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="Calibri" w:cs="" w:ascii="Times New Roman" w:hAnsi="Times New Roman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8. Перечень документов, необходимых для получения финансовой поддержки:</w:t>
      </w:r>
    </w:p>
    <w:p>
      <w:pPr>
        <w:pStyle w:val="Normal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1. </w:t>
      </w:r>
      <w:r>
        <w:rPr>
          <w:rFonts w:eastAsia="Calibri" w:cs="Times New Roman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Заявка установленного образца.</w:t>
      </w:r>
    </w:p>
    <w:p>
      <w:pPr>
        <w:pStyle w:val="Normal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2. Копии документов по финансово - хозяйственной деятельности участника отбора: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юридические лица, применяющие общую систему налогообложения, представляют отчет о финансовых результатах за последний финансовый год с отметкой налогового органа;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отбора, применяющие упрощенную систему налогообложения, представляют налоговые декларации за последний финансовый год с отметкой налогового органа;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отбора,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индивидуальные предприниматели, применяющие патентную систему налогообложения, представляют Книгу учета доходов индивидуальных предпринимателей, применяющих патентную систему налогообложения, по форме, утвержденной </w:t>
      </w:r>
      <w:r>
        <w:rPr>
          <w:rFonts w:ascii="Times New Roman" w:hAnsi="Times New Roman"/>
          <w:sz w:val="28"/>
          <w:szCs w:val="28"/>
          <w:shd w:fill="FFFFFF" w:val="clear"/>
        </w:rPr>
        <w:t>приказом Федеральной налоговой службы от 07.11.2023 № ЕА-7-3/816@ «Об утверждении форм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а также порядков их заполнения».</w:t>
      </w:r>
    </w:p>
    <w:p>
      <w:pPr>
        <w:pStyle w:val="Normal"/>
        <w:spacing w:lineRule="auto" w:line="240"/>
        <w:ind w:firstLine="709" w:right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3. </w:t>
      </w:r>
      <w:hyperlink r:id="rId2">
        <w:r>
          <w:rPr>
            <w:rStyle w:val="Hyperlink"/>
            <w:rFonts w:cs="Times New Roman" w:ascii="Times New Roman" w:hAnsi="Times New Roman"/>
            <w:b w:val="false"/>
            <w:i w:val="false"/>
            <w:strike w:val="false"/>
            <w:dstrike w:val="false"/>
            <w:color w:val="000000"/>
            <w:sz w:val="28"/>
            <w:szCs w:val="28"/>
            <w:u w:val="none"/>
          </w:rPr>
          <w:t>Акт</w:t>
        </w:r>
      </w:hyperlink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</w:rPr>
        <w:t xml:space="preserve">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(форма по КНД 1160070), по форме, утвержденной приказом Федеральной налоговой службы от 21.06.2023 № ЕД-7-19/402@ «Об утверждении формы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платежа, и формата его представления в электронной форме», за год, предшествующий году подачи заявки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.</w:t>
      </w:r>
    </w:p>
    <w:p>
      <w:pPr>
        <w:pStyle w:val="Normal"/>
        <w:spacing w:lineRule="auto" w:line="240"/>
        <w:ind w:firstLine="709" w:right="0"/>
        <w:jc w:val="both"/>
        <w:rPr/>
      </w:pPr>
      <w:r>
        <w:rPr>
          <w:rFonts w:ascii="Times New Roman" w:hAnsi="Times New Roman"/>
          <w:sz w:val="28"/>
          <w:szCs w:val="28"/>
          <w:shd w:fill="FFFFFF" w:val="clear"/>
        </w:rPr>
        <w:t xml:space="preserve">4. </w:t>
      </w:r>
      <w:r>
        <w:rPr>
          <w:rFonts w:cs="Times New Roman" w:ascii="Times New Roman" w:hAnsi="Times New Roman"/>
          <w:color w:val="000000"/>
          <w:sz w:val="28"/>
          <w:szCs w:val="28"/>
          <w:u w:val="none"/>
          <w:shd w:fill="FFFFFF" w:val="clear"/>
        </w:rPr>
        <w:t>С</w:t>
      </w:r>
      <w:hyperlink r:id="rId3" w:tgtFrame="_blank">
        <w:r>
          <w:rPr>
            <w:rStyle w:val="Hyperlink"/>
            <w:rFonts w:cs="Times New Roman" w:ascii="Times New Roman" w:hAnsi="Times New Roman"/>
            <w:color w:val="000000"/>
            <w:sz w:val="28"/>
            <w:szCs w:val="28"/>
            <w:u w:val="none"/>
            <w:shd w:fill="FFFFFF" w:val="clear"/>
          </w:rPr>
          <w:t>правка - подтверждение</w:t>
        </w:r>
      </w:hyperlink>
      <w:r>
        <w:rPr>
          <w:rFonts w:cs="Times New Roman" w:ascii="Times New Roman" w:hAnsi="Times New Roman"/>
          <w:color w:val="000000"/>
          <w:sz w:val="28"/>
          <w:szCs w:val="28"/>
          <w:u w:val="none"/>
          <w:shd w:fill="FFFFFF" w:val="clear"/>
        </w:rPr>
        <w:t xml:space="preserve"> основного вида экономической деятельности (приложение № 2 к Порядку подтверж</w:t>
      </w:r>
      <w:r>
        <w:rPr>
          <w:rFonts w:ascii="Times New Roman" w:hAnsi="Times New Roman"/>
          <w:sz w:val="28"/>
          <w:szCs w:val="28"/>
          <w:shd w:fill="FFFFFF" w:val="clear"/>
        </w:rPr>
        <w:t>дения основного вида экономической деятельности страхователя по обязательному социальному страхованию от несчастных случаев на производстве и профессиональных заболеваний –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 55) за последний финансовый год, подписанная участником отбора.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FFFFFF" w:val="clear"/>
        </w:rPr>
        <w:t>5. Форма расчета по страховым взносам за предшествующий календарный год, утвержденная приказом Федеральной налоговой службы от 29.09.2022 № 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форме»*.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6.Табли</w:t>
      </w:r>
      <w:r>
        <w:rPr>
          <w:rFonts w:ascii="Times New Roman" w:hAnsi="Times New Roman"/>
          <w:sz w:val="28"/>
          <w:szCs w:val="28"/>
          <w:shd w:fill="FFFFFF" w:val="clear"/>
        </w:rPr>
        <w:t>ца экономических показателей деятельности СМиСП в зависимости от применяемой системы налогообложения.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Копия (копии) кредитных договоров, заверенная заявителем и банком, с сопроводительным письмом о назначении банковского кредита (кредитов).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Заверенные банком выписка из ссудного счета и график погашения кредита (кредитов).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Копии платежных документов, подтверждающих уплату процентов по кредитному договору (договорам), заверенные заявителем.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Копия договора (договоров) аренды, заверенная (заверенные) заявителем и арендодателем.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Копии документов, подтверждающих оплату арендных платежей, заверенные заявителем.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 Копии договоров купли - продажи (поставки) оборудования или счетов и актов приема - передачи оборудования или товарных накладных, заверенные заявителем.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Копии документов, подтверждающих постановку на баланс приобретенного оборудования, заверенные заявителем.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Копии платежных документов, подтверждающие затраты на обновление основных средств и (или) приобретение оборотных средств, заверенные заявителем.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Бизнес-план предпринимательского проекта, соответствующий основному виду деятельности юридического лица.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 Копии платежных документов, подтверждающие затраты произведенные в соответствии с бизнес-планом предпринимательского проекта, заверенные заявителем.</w:t>
      </w:r>
    </w:p>
    <w:p>
      <w:pPr>
        <w:pStyle w:val="Style20"/>
        <w:widowControl w:val="false"/>
        <w:tabs>
          <w:tab w:val="clear" w:pos="708"/>
          <w:tab w:val="left" w:pos="1134" w:leader="none"/>
        </w:tabs>
        <w:overflowPunct w:val="false"/>
        <w:spacing w:lineRule="auto" w:line="240"/>
        <w:ind w:firstLine="709" w:left="0" w:right="0"/>
        <w:jc w:val="both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 xml:space="preserve">17. </w:t>
      </w:r>
      <w:r>
        <w:rPr>
          <w:rFonts w:eastAsia="Calibri" w:cs="Times New Roman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 </w:t>
      </w:r>
      <w:hyperlink w:anchor="P1048">
        <w:r>
          <w:rPr>
            <w:rStyle w:val="Hyperlink"/>
            <w:rFonts w:eastAsia="Times New Roman" w:cs="Times New Roman" w:ascii="Times New Roman" w:hAnsi="Times New Roman"/>
            <w:b w:val="false"/>
            <w:bCs w:val="false"/>
            <w:i w:val="false"/>
            <w:caps w:val="false"/>
            <w:smallCaps w:val="false"/>
            <w:color w:val="000000"/>
            <w:spacing w:val="0"/>
            <w:kern w:val="0"/>
            <w:sz w:val="28"/>
            <w:szCs w:val="28"/>
            <w:u w:val="none"/>
            <w:lang w:val="ru-RU" w:eastAsia="ru-RU" w:bidi="ar-SA"/>
          </w:rPr>
          <w:t>Согласие</w:t>
        </w:r>
      </w:hyperlink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u w:val="none"/>
          <w:lang w:val="ru-RU" w:eastAsia="ru-RU" w:bidi="ar-SA"/>
        </w:rPr>
        <w:t xml:space="preserve"> 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ru-RU" w:eastAsia="ru-RU" w:bidi="ar-SA"/>
        </w:rPr>
        <w:t>а публикацию в информационно-телекоммуникационной сети «Интернет» по форме.</w:t>
      </w:r>
    </w:p>
    <w:p>
      <w:pPr>
        <w:pStyle w:val="Normal"/>
        <w:widowControl w:val="false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bookmarkStart w:id="0" w:name="Par999"/>
      <w:bookmarkStart w:id="1" w:name="Par1000"/>
      <w:bookmarkEnd w:id="0"/>
      <w:bookmarkEnd w:id="1"/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shd w:fill="FFFFFF" w:val="clear"/>
          <w:lang w:val="ru-RU" w:eastAsia="ru-RU" w:bidi="ar-SA"/>
        </w:rPr>
        <w:t>* Указанные документы запрашиваются администрацией в порядке межведомственного взаимодействия. При этом заявитель вправе представить указанные документы по собственной инициативе.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9. П</w:t>
      </w:r>
      <w:r>
        <w:rPr>
          <w:rFonts w:eastAsia="Calibri" w:cs="" w:ascii="Times New Roman" w:hAnsi="Times New Roman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орядок подачи заявок</w:t>
      </w:r>
    </w:p>
    <w:p>
      <w:pPr>
        <w:pStyle w:val="Normal"/>
        <w:shd w:val="clear" w:fill="FFFFFF"/>
        <w:spacing w:lineRule="auto" w:line="240"/>
        <w:ind w:firstLine="708" w:right="0"/>
        <w:jc w:val="both"/>
        <w:rPr/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u w:val="none"/>
          <w:lang w:val="ru-RU" w:eastAsia="en-US" w:bidi="ar-SA"/>
        </w:rPr>
        <w:t xml:space="preserve">Формирование получателям субсидии заявок в электронной форме осуществляется посредством заполнения соответствующих экранных форм веб-интерфейса в  системе «Электронный бюджет» </w:t>
      </w: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u w:val="none"/>
          <w:lang w:val="ru-RU" w:eastAsia="en-US" w:bidi="ar-SA"/>
        </w:rPr>
        <w:t xml:space="preserve">портал предоставления мер финансовой государственной поддержки (далее - система «Электронный бюджет») на сайте </w:t>
      </w:r>
      <w:hyperlink r:id="rId4">
        <w:r>
          <w:rPr>
            <w:rStyle w:val="Hyperlink"/>
            <w:rFonts w:eastAsia="Calibri" w:cs="" w:ascii="Times New Roman" w:hAnsi="Times New Roman" w:cstheme="minorBidi" w:eastAsiaTheme="minorHAnsi"/>
            <w:b w:val="false"/>
            <w:bCs w:val="false"/>
            <w:i w:val="false"/>
            <w:caps w:val="false"/>
            <w:smallCaps w:val="false"/>
            <w:color w:val="212529"/>
            <w:spacing w:val="0"/>
            <w:kern w:val="0"/>
            <w:sz w:val="28"/>
            <w:szCs w:val="28"/>
            <w:u w:val="none"/>
            <w:lang w:val="ru-RU" w:eastAsia="en-US" w:bidi="ar-SA"/>
          </w:rPr>
          <w:t>https://promote.budget.gov.ru</w:t>
        </w:r>
      </w:hyperlink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u w:val="none"/>
          <w:lang w:val="ru-RU" w:eastAsia="en-US" w:bidi="ar-SA"/>
        </w:rPr>
        <w:t xml:space="preserve">. </w:t>
      </w: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u w:val="none"/>
          <w:lang w:val="ru-RU" w:eastAsia="en-US" w:bidi="ar-SA"/>
        </w:rPr>
        <w:t>и представления в систему «Электронный бюджет» электронных копий докумен</w:t>
      </w: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тов (документов на бумажном носителе, преобразованных в электронную форму путем сканирования).</w:t>
      </w:r>
    </w:p>
    <w:p>
      <w:pPr>
        <w:pStyle w:val="Normal"/>
        <w:ind w:firstLine="709" w:right="-2"/>
        <w:jc w:val="both"/>
        <w:rPr>
          <w:sz w:val="28"/>
          <w:szCs w:val="28"/>
        </w:rPr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Доступ к системе «Электронный бюджет» обеспечивается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Электронные копии документов,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10. Порядок отзыва заявки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Участник отбора вправе отозвать заявку в период проведения отбора, направив заявление об отзыве заявки в системе «Электронный бюджет».</w:t>
      </w:r>
    </w:p>
    <w:p>
      <w:pPr>
        <w:pStyle w:val="Normal"/>
        <w:spacing w:lineRule="auto" w:line="240"/>
        <w:ind w:firstLine="709" w:right="-2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После отзыва заявки получатель субсидии до дня окончания срока приема заявок вправе повторно подать заявку, внести изменения в заявку.</w:t>
      </w:r>
    </w:p>
    <w:p>
      <w:pPr>
        <w:pStyle w:val="Normal"/>
        <w:shd w:val="clear" w:fill="FFFFFF"/>
        <w:spacing w:lineRule="auto" w:line="240"/>
        <w:ind w:firstLine="708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Заявка может быть направлена не позднее трех рабочих дня до даты окончания приема заявок на доработку участнику отбора один раз в период приема заявок, указанный в объявлении о проведении отбора, с указанием основания возврата заявки.</w:t>
      </w:r>
    </w:p>
    <w:p>
      <w:pPr>
        <w:pStyle w:val="Normal"/>
        <w:widowControl w:val="false"/>
        <w:spacing w:lineRule="auto" w:line="240" w:before="0" w:after="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Участник отбора вправе повторно подать доработанную заявку, но не позднее даты окончания приема заявок. В указанном случае датой и временем представления заявки будет считаться дата и время ее повторного представления. </w:t>
      </w:r>
    </w:p>
    <w:p>
      <w:pPr>
        <w:pStyle w:val="Normal"/>
        <w:widowControl w:val="false"/>
        <w:spacing w:lineRule="auto" w:line="240" w:before="0" w:after="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В случае непредставления доработанной заявки в системе «Электронный бюджет» до даты окончания приема заявок, заявка считается не представленной.</w:t>
      </w:r>
    </w:p>
    <w:p>
      <w:pPr>
        <w:pStyle w:val="Normal"/>
        <w:widowControl w:val="false"/>
        <w:spacing w:lineRule="auto" w:line="240" w:before="0" w:after="0"/>
        <w:ind w:firstLine="709" w:right="0"/>
        <w:jc w:val="both"/>
        <w:rPr>
          <w:rFonts w:eastAsia="Calibri" w:cs="" w:cstheme="minorBidi" w:eastAsiaTheme="minorHAnsi"/>
          <w:i w:val="false"/>
          <w:i w:val="false"/>
          <w:caps w:val="false"/>
          <w:smallCaps w:val="false"/>
          <w:color w:val="212529"/>
          <w:spacing w:val="0"/>
          <w:kern w:val="0"/>
          <w:lang w:val="ru-RU" w:eastAsia="en-US" w:bidi="ar-SA"/>
        </w:rPr>
      </w:pPr>
      <w:r>
        <w:rPr>
          <w:rFonts w:eastAsia="Calibri" w:cs="" w:cstheme="minorBidi" w:eastAsiaTheme="minorHAnsi"/>
          <w:i w:val="false"/>
          <w:caps w:val="false"/>
          <w:smallCaps w:val="false"/>
          <w:color w:val="212529"/>
          <w:spacing w:val="0"/>
          <w:kern w:val="0"/>
          <w:lang w:val="ru-RU" w:eastAsia="en-US" w:bidi="ar-SA"/>
        </w:rPr>
      </w:r>
    </w:p>
    <w:p>
      <w:pPr>
        <w:pStyle w:val="Normal"/>
        <w:widowControl w:val="false"/>
        <w:spacing w:lineRule="auto" w:line="240" w:before="0" w:after="0"/>
        <w:ind w:firstLine="709" w:righ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 xml:space="preserve">11. Порядок </w:t>
      </w:r>
      <w:r>
        <w:rPr>
          <w:rFonts w:eastAsia="Calibri" w:cs="" w:ascii="Times New Roman" w:hAnsi="Times New Roman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отклонения заявок</w:t>
      </w:r>
    </w:p>
    <w:p>
      <w:pPr>
        <w:pStyle w:val="Normal"/>
        <w:widowControl w:val="false"/>
        <w:spacing w:lineRule="auto" w:line="240" w:before="0" w:after="0"/>
        <w:ind w:firstLine="709" w:right="0"/>
        <w:jc w:val="both"/>
        <w:rPr>
          <w:rFonts w:eastAsia="Calibri" w:cs=""/>
          <w:i w:val="false"/>
          <w:i w:val="false"/>
          <w:caps w:val="false"/>
          <w:smallCaps w:val="false"/>
          <w:color w:val="212529"/>
          <w:spacing w:val="0"/>
          <w:kern w:val="0"/>
          <w:lang w:val="ru-RU" w:eastAsia="en-US" w:bidi="ar-SA"/>
        </w:rPr>
      </w:pPr>
      <w:r>
        <w:rPr>
          <w:rFonts w:eastAsia="Calibri" w:cs=""/>
          <w:i w:val="false"/>
          <w:caps w:val="false"/>
          <w:smallCaps w:val="false"/>
          <w:color w:val="212529"/>
          <w:spacing w:val="0"/>
          <w:kern w:val="0"/>
          <w:lang w:val="ru-RU" w:eastAsia="en-US" w:bidi="ar-SA"/>
        </w:rPr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вскрытия заявок формируется автоматически на едином портале и подписывается усиленной квалифицированной электронной подписью членов конкурсной комиссии в системе «Электронный бюджет», а также размещается на едином портале не позднее первого рабочего дня, следующего за днем его подписания и содержит следующую информацию: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регистрационный номер заявки;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дату и время поступления заявки;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и сокращенное наименование участника отбора (для юридических лиц и индивидуальных предпринимателей);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юридического лица, адрес места жительства (для индивидуального предпринимателя);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запрашиваемый участником отбора объем субсидии.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Основаниями для отклонения заявок на стадии рассмотрения заявок являются: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1) несоответствие участника отбора требованиям, установленным </w:t>
      </w: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>пунктом 27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настоящего Порядка;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2) </w:t>
      </w: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>непредставление (представление не в полном объеме) документов, указанных в объявлении о проведении отбора и указанных в приложении № 3 к настоящему Порядку;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 xml:space="preserve">3)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  <w:lang w:eastAsia="ru-RU"/>
        </w:rPr>
        <w:t>наличие исправлений, приписок, подчисток, зачеркнутых слов, не читаемых электронных образов документов, а также повреждений, не позволяющих однозначно истолковать содержание документов, арифметических ошибок, допущенных в документах в составе заявки;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4) несоответствие представленных участниками отбора заявок и (или) документов требованиям, установленным в объявлении о проведении отбора, предусмотренных настоящим Порядком;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5) недостоверность представленной участником отбора информации, указанной в заявке и в документах, предусмотренн</w:t>
      </w:r>
      <w:r>
        <w:rPr>
          <w:rFonts w:ascii="Times New Roman" w:hAnsi="Times New Roman"/>
          <w:b w:val="false"/>
          <w:bCs w:val="false"/>
          <w:sz w:val="28"/>
          <w:szCs w:val="28"/>
          <w:shd w:fill="FFFFFF" w:val="clear"/>
        </w:rPr>
        <w:t>ых в приложении № 3 к настоящему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Порядку;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6) представление участником отбора заявки после даты окончания срока, определенного для подачи заявок;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7) отсутствие в представленных документах подписей, печатей (при наличии), дат, несоответствие форм представленных документов формам документов, установленным действующим законодательством;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8) документы, включенные в заявку, не поддаются прочтению;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9) недостаточность лимитов бюджетных обязательств, утвержденных на предоставление финансовой поддержки на соответствующий финансовый год.</w:t>
      </w:r>
    </w:p>
    <w:p>
      <w:pPr>
        <w:pStyle w:val="BodyText"/>
        <w:widowControl/>
        <w:suppressAutoHyphens w:val="true"/>
        <w:bidi w:val="0"/>
        <w:spacing w:lineRule="auto" w:line="240" w:before="0" w:after="140"/>
        <w:ind w:firstLine="737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/>
          <w:b/>
          <w:bCs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12. Порядок предоставления разъяснений участникам отбора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Участник отбора не позднее 3 (трех) рабочих дней до дня завершения подачи заявок вправе направить запрос о разъяснении положений объявления об отборе путем формирования в системе «Электронный бюджет» соответствующего запроса.</w:t>
      </w:r>
    </w:p>
    <w:p>
      <w:pPr>
        <w:pStyle w:val="Normal"/>
        <w:spacing w:lineRule="auto" w:line="240"/>
        <w:ind w:firstLine="709" w:right="0"/>
        <w:jc w:val="both"/>
        <w:rPr/>
      </w:pPr>
      <w:r>
        <w:rPr>
          <w:rFonts w:eastAsia="Calibri" w:cs=""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kern w:val="0"/>
          <w:sz w:val="28"/>
          <w:szCs w:val="28"/>
          <w:lang w:val="ru-RU" w:eastAsia="en-US" w:bidi="ar-SA"/>
        </w:rPr>
        <w:t>Участнику направляются разъяснения положений объявления о проведении отбора на указанный запрос участника отбора в срок, установленный указанным объявлением, но позднее 1 (одного) рабочего дня до дня окончания приема заявок путем его формирования в системе «Электронный бюджет».</w:t>
      </w:r>
    </w:p>
    <w:p>
      <w:pPr>
        <w:pStyle w:val="Normal"/>
        <w:spacing w:lineRule="auto" w:line="240"/>
        <w:ind w:firstLine="709" w:right="0"/>
        <w:jc w:val="both"/>
        <w:rPr/>
      </w:pPr>
      <w:r>
        <w:rPr>
          <w:rStyle w:val="Strong"/>
          <w:rFonts w:cs="" w:ascii="Times New Roman" w:hAnsi="Times New Roman" w:cstheme="minorBidi"/>
          <w:b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>13. Срок, в течение которого получатель гранта должен подписать соглашение о предоставлении субсидии</w:t>
      </w:r>
    </w:p>
    <w:p>
      <w:pPr>
        <w:pStyle w:val="BodyText"/>
        <w:widowControl/>
        <w:suppressAutoHyphens w:val="true"/>
        <w:bidi w:val="0"/>
        <w:spacing w:lineRule="auto" w:line="24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ab/>
      </w:r>
      <w:r>
        <w:rPr>
          <w:rFonts w:eastAsia="Calibri" w:cs=""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  <w:shd w:fill="FFFFFF" w:val="clear"/>
        </w:rPr>
        <w:t>В течение 10 рабочих дней с д</w:t>
      </w:r>
      <w:r>
        <w:rPr>
          <w:rFonts w:eastAsia="Calibri" w:cs=""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>аты постановления о предоставлении субсидии администрация заключает с победителем отбора соглашение о предоставлении субсидии (далее – Соглашение).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(дополнительное соглашение) заключается в 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Получатель субсидии не позднее 1 рабочего дня подписывает Соглашение усиленной квалифицированной электронной подписью в системе «Электронный бюджет» и возвращает 1 экземпляр в адрес Администрации.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 отсутствии технической возможности формирования Соглашения в форме электронного документа в информационной системе, Соглашение подписывается на бумажном носителе.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этом случае в течение 3 рабочих дней со дня принятия решения о предоставлении субсидии Администрация  направляет получателю субсидии подписанное Главным распорядителем бюджетных средств Соглашение (дополнительное соглашение к Соглашению, при наличии действующего Соглашения) для его подписания.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Получатель субсидии в течение 3 рабочих дней с даты получения Соглашения о предоставлении субсидии подписывает и представляет его в Администрацию лично.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>Получатель субсидии, не представивший в Администрацию подписанное Соглашение о предоставлении субсидии в указанный срок, считается уклонившимся от подписания Соглашения и отказавшимся от получения субсидии.</w:t>
      </w:r>
    </w:p>
    <w:p>
      <w:pPr>
        <w:pStyle w:val="Normal"/>
        <w:spacing w:lineRule="auto" w:line="240"/>
        <w:ind w:firstLine="709" w:righ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/>
          <w:bCs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 xml:space="preserve">14. </w:t>
      </w:r>
      <w:r>
        <w:rPr>
          <w:rFonts w:eastAsia="Calibri" w:cs="" w:ascii="Times New Roman" w:hAnsi="Times New Roman"/>
          <w:b/>
          <w:bCs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>Основание для отказа в предоставлении субсидии:</w:t>
      </w:r>
    </w:p>
    <w:p>
      <w:pPr>
        <w:pStyle w:val="Normal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shd w:fill="FFFFFF" w:val="clear"/>
        </w:rPr>
        <w:t>несоответствие представленных заявителем документов требованиям, определенным пунктом 10 настоящего Порядка, или непредставление (предоставление в неполном объеме) указанных доку</w:t>
      </w:r>
      <w:r>
        <w:rPr>
          <w:rFonts w:ascii="Times New Roman" w:hAnsi="Times New Roman"/>
          <w:sz w:val="28"/>
          <w:szCs w:val="28"/>
        </w:rPr>
        <w:t>ментов (за исключением документов, представляемых по собственной инициативе);</w:t>
      </w:r>
    </w:p>
    <w:p>
      <w:pPr>
        <w:pStyle w:val="Normal"/>
        <w:ind w:firstLine="709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недостоверность представленной получателем субсидии информации;</w:t>
      </w:r>
    </w:p>
    <w:p>
      <w:pPr>
        <w:pStyle w:val="Normal"/>
        <w:ind w:firstLine="709" w:right="0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3) несоответствие получателя субсидии требованиям, установленным в пункте 27 настоящего Порядка;</w:t>
      </w:r>
    </w:p>
    <w:p>
      <w:pPr>
        <w:pStyle w:val="Normal"/>
        <w:ind w:firstLine="709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Calibri" w:cs="" w:ascii="Times New Roman" w:hAnsi="Times New Roman" w:cstheme="minorBidi" w:eastAsiaTheme="minorHAnsi"/>
          <w:b w:val="false"/>
          <w:bCs w:val="false"/>
          <w:i w:val="false"/>
          <w:caps w:val="false"/>
          <w:smallCaps w:val="false"/>
          <w:color w:val="212529"/>
          <w:spacing w:val="0"/>
          <w:sz w:val="28"/>
          <w:szCs w:val="28"/>
          <w:shd w:fill="auto" w:val="clear"/>
        </w:rPr>
        <w:t>4) недостаточность лимитов бюджетных обязательств, утвержденных на реализацию мероприятия Программы по финансовой поддержке СМиСП  на соответствующий финансовый год.</w:t>
      </w:r>
    </w:p>
    <w:p>
      <w:pPr>
        <w:pStyle w:val="BodyText"/>
        <w:widowControl/>
        <w:spacing w:lineRule="auto" w:line="240" w:before="0" w:after="140"/>
        <w:ind w:hanging="0" w:left="0" w:right="0"/>
        <w:rPr/>
      </w:pPr>
      <w:r>
        <w:rPr>
          <w:rStyle w:val="Strong"/>
          <w:rFonts w:ascii="Times New Roman" w:hAnsi="Times New Roman"/>
          <w:b/>
          <w:i w:val="false"/>
          <w:caps w:val="false"/>
          <w:smallCaps w:val="false"/>
          <w:color w:val="212529"/>
          <w:spacing w:val="0"/>
          <w:sz w:val="28"/>
          <w:szCs w:val="28"/>
        </w:rPr>
        <w:tab/>
      </w:r>
      <w:r>
        <w:rPr>
          <w:rFonts w:ascii="Times New Roman" w:hAnsi="Times New Roman"/>
          <w:b/>
          <w:i w:val="false"/>
          <w:caps w:val="false"/>
          <w:smallCaps w:val="false"/>
          <w:color w:val="212529"/>
          <w:spacing w:val="0"/>
          <w:sz w:val="28"/>
          <w:szCs w:val="28"/>
        </w:rPr>
        <w:t>Контакты</w:t>
      </w:r>
    </w:p>
    <w:p>
      <w:pPr>
        <w:pStyle w:val="BodyText"/>
        <w:widowControl/>
        <w:spacing w:lineRule="auto" w:line="240" w:before="0" w:after="14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212529"/>
          <w:spacing w:val="0"/>
          <w:sz w:val="28"/>
          <w:szCs w:val="28"/>
        </w:rPr>
        <w:t>Отдел промышленности, торговли и развития предпринимательства администрации города Бердска</w:t>
      </w:r>
    </w:p>
    <w:p>
      <w:pPr>
        <w:pStyle w:val="BodyText"/>
        <w:widowControl/>
        <w:spacing w:lineRule="auto" w:line="240" w:before="0" w:after="140"/>
        <w:ind w:hanging="0" w:left="0"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633010, Новосибирская область, город Бердск, ул. М. Горького, д. 9, кабинет 5</w:t>
      </w:r>
    </w:p>
    <w:p>
      <w:pPr>
        <w:pStyle w:val="BodyText"/>
        <w:widowControl/>
        <w:spacing w:lineRule="auto" w:line="240" w:before="0" w:after="140"/>
        <w:ind w:hanging="0" w:left="0"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sz w:val="28"/>
          <w:szCs w:val="28"/>
        </w:rPr>
        <w:t xml:space="preserve">Телефон: +7(38341) 3-08-00 </w:t>
      </w:r>
    </w:p>
    <w:p>
      <w:pPr>
        <w:pStyle w:val="BodyText"/>
        <w:widowControl/>
        <w:spacing w:lineRule="auto" w:line="240" w:before="0" w:after="140"/>
        <w:ind w:hanging="0" w:left="0"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E-mail: optberdsk@nso.ru.</w:t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272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Символ нумерации"/>
    <w:qFormat/>
    <w:rPr/>
  </w:style>
  <w:style w:type="character" w:styleId="Strong">
    <w:name w:val="Strong"/>
    <w:qFormat/>
    <w:rPr>
      <w:b/>
      <w:bCs/>
    </w:rPr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34"/>
    <w:qFormat/>
    <w:rsid w:val="0047413f"/>
    <w:pPr>
      <w:spacing w:before="0" w:after="200"/>
      <w:ind w:left="720"/>
      <w:contextualSpacing/>
    </w:pPr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paragraph" w:styleId="Style20">
    <w:name w:val="Абзац списка"/>
    <w:basedOn w:val="Normal"/>
    <w:qFormat/>
    <w:pPr>
      <w:overflowPunct w:val="true"/>
      <w:spacing w:before="0" w:after="0"/>
      <w:ind w:hanging="0" w:left="720" w:right="0"/>
      <w:contextualSpacing/>
      <w:textAlignment w:val="baseline"/>
    </w:pPr>
    <w:rPr>
      <w:sz w:val="28"/>
      <w:szCs w:val="20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80be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453198&amp;dst=100019" TargetMode="External"/><Relationship Id="rId3" Type="http://schemas.openxmlformats.org/officeDocument/2006/relationships/hyperlink" Target="https://login.consultant.ru/link/?req=doc&amp;base=LAW&amp;n=442879&amp;dst=100050" TargetMode="External"/><Relationship Id="rId4" Type="http://schemas.openxmlformats.org/officeDocument/2006/relationships/hyperlink" Target="https://promote.budget.gov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Application>LibreOffice/24.2.3.2$Linux_X86_64 LibreOffice_project/433d9c2ded56988e8a90e6b2e771ee4e6a5ab2ba</Application>
  <AppVersion>15.0000</AppVersion>
  <Pages>10</Pages>
  <Words>2403</Words>
  <Characters>18068</Characters>
  <CharactersWithSpaces>20373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2021-06-28T08:04:00Z</dcterms:created>
  <dc:creator>Евгений Анатольевич Коржов</dc:creator>
  <dc:description/>
  <dc:language>ru-RU</dc:language>
  <cp:lastModifiedBy/>
  <cp:lastPrinted>2025-07-23T10:45:40Z</cp:lastPrinted>
  <dcterms:modified xsi:type="dcterms:W3CDTF">2025-11-06T11:25:30Z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